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16E7" w14:textId="77777777" w:rsidR="00893B7E" w:rsidRPr="00893B7E" w:rsidRDefault="00893B7E" w:rsidP="00893B7E">
      <w:pPr>
        <w:spacing w:before="100" w:beforeAutospacing="1" w:after="100" w:afterAutospacing="1"/>
        <w:outlineLvl w:val="2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>Mechanism of action</w:t>
      </w:r>
    </w:p>
    <w:p w14:paraId="50836CC4" w14:textId="77777777" w:rsidR="00893B7E" w:rsidRPr="00893B7E" w:rsidRDefault="00893B7E" w:rsidP="00893B7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>Hydroxychloroquine increases</w:t>
      </w:r>
      <w:hyperlink r:id="rId4" w:anchor="cite_note-39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[39]</w:t>
        </w:r>
      </w:hyperlink>
      <w:r w:rsidRPr="00893B7E">
        <w:rPr>
          <w:rFonts w:eastAsia="Times New Roman"/>
          <w:sz w:val="28"/>
          <w:szCs w:val="28"/>
        </w:rPr>
        <w:t xml:space="preserve"> lysosomal pH in </w:t>
      </w:r>
      <w:hyperlink r:id="rId5" w:tooltip="Antigen-presenting cell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antigen-presenting cells</w:t>
        </w:r>
      </w:hyperlink>
      <w:r w:rsidRPr="00893B7E">
        <w:rPr>
          <w:rFonts w:eastAsia="Times New Roman"/>
          <w:sz w:val="28"/>
          <w:szCs w:val="28"/>
        </w:rPr>
        <w:t>.</w:t>
      </w:r>
      <w:hyperlink r:id="rId6" w:anchor="cite_note-Meyerowitz2020-3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[3]</w:t>
        </w:r>
      </w:hyperlink>
      <w:r w:rsidRPr="00893B7E">
        <w:rPr>
          <w:rFonts w:eastAsia="Times New Roman"/>
          <w:sz w:val="28"/>
          <w:szCs w:val="28"/>
        </w:rPr>
        <w:t xml:space="preserve"> In inflammatory conditions, it blocks </w:t>
      </w:r>
      <w:hyperlink r:id="rId7" w:tooltip="Toll-like receptor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toll-like receptors</w:t>
        </w:r>
      </w:hyperlink>
      <w:r w:rsidRPr="00893B7E">
        <w:rPr>
          <w:rFonts w:eastAsia="Times New Roman"/>
          <w:sz w:val="28"/>
          <w:szCs w:val="28"/>
        </w:rPr>
        <w:t xml:space="preserve"> on </w:t>
      </w:r>
      <w:hyperlink r:id="rId8" w:tooltip="Plasmacytoid dendritic cell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plasmacytoid dendritic cells</w:t>
        </w:r>
      </w:hyperlink>
      <w:r w:rsidRPr="00893B7E">
        <w:rPr>
          <w:rFonts w:eastAsia="Times New Roman"/>
          <w:sz w:val="28"/>
          <w:szCs w:val="28"/>
        </w:rPr>
        <w:t xml:space="preserve"> (PDCs).</w:t>
      </w:r>
      <w:hyperlink r:id="rId9" w:anchor="cite_note-40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[40]</w:t>
        </w:r>
      </w:hyperlink>
      <w:r w:rsidRPr="00893B7E">
        <w:rPr>
          <w:rFonts w:eastAsia="Times New Roman"/>
          <w:sz w:val="28"/>
          <w:szCs w:val="28"/>
        </w:rPr>
        <w:t xml:space="preserve"> </w:t>
      </w:r>
      <w:hyperlink r:id="rId10" w:tooltip="TLR9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Toll-like receptor 9</w:t>
        </w:r>
      </w:hyperlink>
      <w:r w:rsidRPr="00893B7E">
        <w:rPr>
          <w:rFonts w:eastAsia="Times New Roman"/>
          <w:sz w:val="28"/>
          <w:szCs w:val="28"/>
        </w:rPr>
        <w:t xml:space="preserve"> (TLR 9), which recognizes DNA-containing immune complexes, leads to the production of </w:t>
      </w:r>
      <w:hyperlink r:id="rId11" w:tooltip="Interferon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interferon</w:t>
        </w:r>
      </w:hyperlink>
      <w:r w:rsidRPr="00893B7E">
        <w:rPr>
          <w:rFonts w:eastAsia="Times New Roman"/>
          <w:sz w:val="28"/>
          <w:szCs w:val="28"/>
        </w:rPr>
        <w:t xml:space="preserve"> and causes the </w:t>
      </w:r>
      <w:hyperlink r:id="rId12" w:tooltip="Dendritic cell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dendritic cells</w:t>
        </w:r>
      </w:hyperlink>
      <w:r w:rsidRPr="00893B7E">
        <w:rPr>
          <w:rFonts w:eastAsia="Times New Roman"/>
          <w:sz w:val="28"/>
          <w:szCs w:val="28"/>
        </w:rPr>
        <w:t xml:space="preserve"> to mature and present </w:t>
      </w:r>
      <w:hyperlink r:id="rId13" w:tooltip="Antigen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antigen</w:t>
        </w:r>
      </w:hyperlink>
      <w:r w:rsidRPr="00893B7E">
        <w:rPr>
          <w:rFonts w:eastAsia="Times New Roman"/>
          <w:sz w:val="28"/>
          <w:szCs w:val="28"/>
        </w:rPr>
        <w:t xml:space="preserve"> to </w:t>
      </w:r>
      <w:hyperlink r:id="rId14" w:tooltip="T cell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T cells</w:t>
        </w:r>
      </w:hyperlink>
      <w:r w:rsidRPr="00893B7E">
        <w:rPr>
          <w:rFonts w:eastAsia="Times New Roman"/>
          <w:sz w:val="28"/>
          <w:szCs w:val="28"/>
        </w:rPr>
        <w:t>. Hydroxychloroquine, by decreasing TLR signaling, reduces the activation of dendritic cells and the inflammatory process.</w:t>
      </w:r>
      <w:r w:rsidRPr="00893B7E">
        <w:rPr>
          <w:rFonts w:eastAsia="Times New Roman"/>
          <w:sz w:val="28"/>
          <w:szCs w:val="28"/>
          <w:vertAlign w:val="superscript"/>
        </w:rPr>
        <w:t>[</w:t>
      </w:r>
      <w:hyperlink r:id="rId15" w:tooltip="Wikipedia:Identifying reliable sources (medicine)" w:history="1">
        <w:r w:rsidRPr="00893B7E">
          <w:rPr>
            <w:rFonts w:eastAsia="Times New Roman"/>
            <w:i/>
            <w:iCs/>
            <w:color w:val="0000FF"/>
            <w:sz w:val="28"/>
            <w:szCs w:val="28"/>
            <w:u w:val="single"/>
            <w:vertAlign w:val="superscript"/>
          </w:rPr>
          <w:t>medical citation needed</w:t>
        </w:r>
      </w:hyperlink>
      <w:r w:rsidRPr="00893B7E">
        <w:rPr>
          <w:rFonts w:eastAsia="Times New Roman"/>
          <w:sz w:val="28"/>
          <w:szCs w:val="28"/>
          <w:vertAlign w:val="superscript"/>
        </w:rPr>
        <w:t>]</w:t>
      </w:r>
      <w:r w:rsidRPr="00893B7E">
        <w:rPr>
          <w:rFonts w:eastAsia="Times New Roman"/>
          <w:sz w:val="28"/>
          <w:szCs w:val="28"/>
        </w:rPr>
        <w:t xml:space="preserve"> </w:t>
      </w:r>
    </w:p>
    <w:p w14:paraId="5CF074AB" w14:textId="77777777" w:rsidR="00893B7E" w:rsidRPr="00893B7E" w:rsidRDefault="00893B7E" w:rsidP="00893B7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 xml:space="preserve">In 2003, a novel mechanism was described wherein hydroxychloroquine inhibits stimulation of the </w:t>
      </w:r>
      <w:hyperlink r:id="rId16" w:tooltip="Toll-like receptor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toll-like receptor</w:t>
        </w:r>
      </w:hyperlink>
      <w:r w:rsidRPr="00893B7E">
        <w:rPr>
          <w:rFonts w:eastAsia="Times New Roman"/>
          <w:sz w:val="28"/>
          <w:szCs w:val="28"/>
        </w:rPr>
        <w:t xml:space="preserve"> (TLR) 9 family receptors. TLRs are cellular receptors for microbial products that induce inflammatory responses through activation of the </w:t>
      </w:r>
      <w:hyperlink r:id="rId17" w:tooltip="Innate immune system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innate immune system</w:t>
        </w:r>
      </w:hyperlink>
      <w:r w:rsidRPr="00893B7E">
        <w:rPr>
          <w:rFonts w:eastAsia="Times New Roman"/>
          <w:sz w:val="28"/>
          <w:szCs w:val="28"/>
        </w:rPr>
        <w:t>.</w:t>
      </w:r>
      <w:hyperlink r:id="rId18" w:anchor="cite_note-41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[41]</w:t>
        </w:r>
      </w:hyperlink>
      <w:r w:rsidRPr="00893B7E">
        <w:rPr>
          <w:rFonts w:eastAsia="Times New Roman"/>
          <w:sz w:val="28"/>
          <w:szCs w:val="28"/>
        </w:rPr>
        <w:t xml:space="preserve"> </w:t>
      </w:r>
    </w:p>
    <w:p w14:paraId="0FB89951" w14:textId="77777777" w:rsidR="00893B7E" w:rsidRPr="00893B7E" w:rsidRDefault="00893B7E" w:rsidP="00893B7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 xml:space="preserve">As with other </w:t>
      </w:r>
      <w:hyperlink r:id="rId19" w:tooltip="Quinoline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quinoline</w:t>
        </w:r>
      </w:hyperlink>
      <w:r w:rsidRPr="00893B7E">
        <w:rPr>
          <w:rFonts w:eastAsia="Times New Roman"/>
          <w:sz w:val="28"/>
          <w:szCs w:val="28"/>
        </w:rPr>
        <w:t xml:space="preserve"> antimalarial drugs, the antimalarial mechanism of action of </w:t>
      </w:r>
      <w:hyperlink r:id="rId20" w:tooltip="Quinine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quinine</w:t>
        </w:r>
      </w:hyperlink>
      <w:r w:rsidRPr="00893B7E">
        <w:rPr>
          <w:rFonts w:eastAsia="Times New Roman"/>
          <w:sz w:val="28"/>
          <w:szCs w:val="28"/>
        </w:rPr>
        <w:t xml:space="preserve"> has not been fully resolved. The most accepted model is based on hydrochloroquinine and involves the inhibition of </w:t>
      </w:r>
      <w:hyperlink r:id="rId21" w:tooltip="Hemozoin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hemozoin</w:t>
        </w:r>
      </w:hyperlink>
      <w:r w:rsidRPr="00893B7E">
        <w:rPr>
          <w:rFonts w:eastAsia="Times New Roman"/>
          <w:sz w:val="28"/>
          <w:szCs w:val="28"/>
        </w:rPr>
        <w:t xml:space="preserve"> </w:t>
      </w:r>
      <w:hyperlink r:id="rId22" w:tooltip="Biocrystallization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biocrystallization</w:t>
        </w:r>
      </w:hyperlink>
      <w:r w:rsidRPr="00893B7E">
        <w:rPr>
          <w:rFonts w:eastAsia="Times New Roman"/>
          <w:sz w:val="28"/>
          <w:szCs w:val="28"/>
        </w:rPr>
        <w:t xml:space="preserve">, which facilitates the aggregation of cytotoxic </w:t>
      </w:r>
      <w:hyperlink r:id="rId23" w:tooltip="Heme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heme</w:t>
        </w:r>
      </w:hyperlink>
      <w:r w:rsidRPr="00893B7E">
        <w:rPr>
          <w:rFonts w:eastAsia="Times New Roman"/>
          <w:sz w:val="28"/>
          <w:szCs w:val="28"/>
        </w:rPr>
        <w:t>. Free cytotoxic heme accumulates in the parasites, causing death.</w:t>
      </w:r>
      <w:hyperlink r:id="rId24" w:anchor="cite_note-Sullivan-42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[42]</w:t>
        </w:r>
      </w:hyperlink>
      <w:r w:rsidRPr="00893B7E">
        <w:rPr>
          <w:rFonts w:eastAsia="Times New Roman"/>
          <w:sz w:val="28"/>
          <w:szCs w:val="28"/>
        </w:rPr>
        <w:t xml:space="preserve"> </w:t>
      </w:r>
    </w:p>
    <w:p w14:paraId="37DE800F" w14:textId="77777777" w:rsidR="00893B7E" w:rsidRPr="00893B7E" w:rsidRDefault="00893B7E" w:rsidP="00893B7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 xml:space="preserve">Hydroxychloroquine increases the risk of low blood sugar through several mechanisms. These include decreased clearance of the hormone </w:t>
      </w:r>
      <w:hyperlink r:id="rId25" w:tooltip="Insulin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insulin</w:t>
        </w:r>
      </w:hyperlink>
      <w:r w:rsidRPr="00893B7E">
        <w:rPr>
          <w:rFonts w:eastAsia="Times New Roman"/>
          <w:sz w:val="28"/>
          <w:szCs w:val="28"/>
        </w:rPr>
        <w:t xml:space="preserve"> from the blood, increased </w:t>
      </w:r>
      <w:hyperlink r:id="rId26" w:tooltip="Insulin sensitivity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insulin sensitivity</w:t>
        </w:r>
      </w:hyperlink>
      <w:r w:rsidRPr="00893B7E">
        <w:rPr>
          <w:rFonts w:eastAsia="Times New Roman"/>
          <w:sz w:val="28"/>
          <w:szCs w:val="28"/>
        </w:rPr>
        <w:t xml:space="preserve">, and increased release of insulin from the </w:t>
      </w:r>
      <w:hyperlink r:id="rId27" w:tooltip="Pancreas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pancreas</w:t>
        </w:r>
      </w:hyperlink>
      <w:r w:rsidRPr="00893B7E">
        <w:rPr>
          <w:rFonts w:eastAsia="Times New Roman"/>
          <w:sz w:val="28"/>
          <w:szCs w:val="28"/>
        </w:rPr>
        <w:t>.</w:t>
      </w:r>
      <w:hyperlink r:id="rId28" w:anchor="cite_note-Juurlink2020-4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[4]</w:t>
        </w:r>
      </w:hyperlink>
      <w:r w:rsidRPr="00893B7E">
        <w:rPr>
          <w:rFonts w:eastAsia="Times New Roman"/>
          <w:sz w:val="28"/>
          <w:szCs w:val="28"/>
        </w:rPr>
        <w:t xml:space="preserve"> </w:t>
      </w:r>
    </w:p>
    <w:p w14:paraId="6DE38BCC" w14:textId="77777777" w:rsidR="00893B7E" w:rsidRPr="00893B7E" w:rsidRDefault="00893B7E" w:rsidP="00893B7E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93B7E">
        <w:rPr>
          <w:rFonts w:eastAsia="Times New Roman"/>
          <w:sz w:val="28"/>
          <w:szCs w:val="28"/>
        </w:rPr>
        <w:t xml:space="preserve">Hydroxychloroquine has been suggested to be a </w:t>
      </w:r>
      <w:hyperlink r:id="rId29" w:tooltip="Zinc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zinc</w:t>
        </w:r>
      </w:hyperlink>
      <w:r w:rsidRPr="00893B7E">
        <w:rPr>
          <w:rFonts w:eastAsia="Times New Roman"/>
          <w:sz w:val="28"/>
          <w:szCs w:val="28"/>
        </w:rPr>
        <w:t xml:space="preserve"> </w:t>
      </w:r>
      <w:hyperlink r:id="rId30" w:tooltip="Ionophore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ionophore</w:t>
        </w:r>
      </w:hyperlink>
      <w:r w:rsidRPr="00893B7E">
        <w:rPr>
          <w:rFonts w:eastAsia="Times New Roman"/>
          <w:sz w:val="28"/>
          <w:szCs w:val="28"/>
        </w:rPr>
        <w:t xml:space="preserve">, and may derive an anti-cancer action from increasing </w:t>
      </w:r>
      <w:hyperlink r:id="rId31" w:tooltip="Intracellular" w:history="1">
        <w:r w:rsidRPr="00893B7E">
          <w:rPr>
            <w:rFonts w:eastAsia="Times New Roman"/>
            <w:color w:val="0000FF"/>
            <w:sz w:val="28"/>
            <w:szCs w:val="28"/>
            <w:u w:val="single"/>
          </w:rPr>
          <w:t>intracellular</w:t>
        </w:r>
      </w:hyperlink>
      <w:r w:rsidRPr="00893B7E">
        <w:rPr>
          <w:rFonts w:eastAsia="Times New Roman"/>
          <w:sz w:val="28"/>
          <w:szCs w:val="28"/>
        </w:rPr>
        <w:t xml:space="preserve"> zinc uptake.</w:t>
      </w:r>
      <w:hyperlink r:id="rId32" w:anchor="cite_note-43" w:history="1">
        <w:r w:rsidRPr="00893B7E">
          <w:rPr>
            <w:rFonts w:eastAsia="Times New Roman"/>
            <w:color w:val="0000FF"/>
            <w:sz w:val="28"/>
            <w:szCs w:val="28"/>
            <w:u w:val="single"/>
            <w:vertAlign w:val="superscript"/>
          </w:rPr>
          <w:t>[43]</w:t>
        </w:r>
      </w:hyperlink>
      <w:r w:rsidRPr="00893B7E">
        <w:rPr>
          <w:rFonts w:eastAsia="Times New Roman"/>
          <w:sz w:val="28"/>
          <w:szCs w:val="28"/>
        </w:rPr>
        <w:t xml:space="preserve"> </w:t>
      </w:r>
    </w:p>
    <w:p w14:paraId="5BC21FF0" w14:textId="77777777" w:rsidR="00215181" w:rsidRPr="00893B7E" w:rsidRDefault="00215181">
      <w:pPr>
        <w:rPr>
          <w:sz w:val="28"/>
          <w:szCs w:val="28"/>
        </w:rPr>
      </w:pPr>
    </w:p>
    <w:sectPr w:rsidR="00215181" w:rsidRPr="0089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3B7E"/>
    <w:rsid w:val="00005A27"/>
    <w:rsid w:val="00010468"/>
    <w:rsid w:val="00012E90"/>
    <w:rsid w:val="000219C6"/>
    <w:rsid w:val="00025E4A"/>
    <w:rsid w:val="00027D61"/>
    <w:rsid w:val="00043754"/>
    <w:rsid w:val="00044CA3"/>
    <w:rsid w:val="000519D6"/>
    <w:rsid w:val="00054053"/>
    <w:rsid w:val="00054C6D"/>
    <w:rsid w:val="0006304E"/>
    <w:rsid w:val="00067032"/>
    <w:rsid w:val="0006775A"/>
    <w:rsid w:val="00072381"/>
    <w:rsid w:val="0007525A"/>
    <w:rsid w:val="000846D6"/>
    <w:rsid w:val="000861D6"/>
    <w:rsid w:val="000871DD"/>
    <w:rsid w:val="000A15C7"/>
    <w:rsid w:val="000B3D53"/>
    <w:rsid w:val="000B6058"/>
    <w:rsid w:val="000D4572"/>
    <w:rsid w:val="000D5F30"/>
    <w:rsid w:val="000E2B43"/>
    <w:rsid w:val="000E634A"/>
    <w:rsid w:val="000F2A21"/>
    <w:rsid w:val="000F57B9"/>
    <w:rsid w:val="0011629E"/>
    <w:rsid w:val="00133D49"/>
    <w:rsid w:val="00143E2A"/>
    <w:rsid w:val="00146ECE"/>
    <w:rsid w:val="001561C5"/>
    <w:rsid w:val="00156A8D"/>
    <w:rsid w:val="0016059E"/>
    <w:rsid w:val="0016070A"/>
    <w:rsid w:val="001630D3"/>
    <w:rsid w:val="001714AD"/>
    <w:rsid w:val="001718F7"/>
    <w:rsid w:val="00174E41"/>
    <w:rsid w:val="00195FED"/>
    <w:rsid w:val="00197D85"/>
    <w:rsid w:val="001A347C"/>
    <w:rsid w:val="001A5517"/>
    <w:rsid w:val="001B2BD3"/>
    <w:rsid w:val="001B4C6B"/>
    <w:rsid w:val="001B5165"/>
    <w:rsid w:val="001B5FDD"/>
    <w:rsid w:val="001C0253"/>
    <w:rsid w:val="001C4303"/>
    <w:rsid w:val="001C74BA"/>
    <w:rsid w:val="001E504B"/>
    <w:rsid w:val="00211D38"/>
    <w:rsid w:val="00215181"/>
    <w:rsid w:val="002201D2"/>
    <w:rsid w:val="00224360"/>
    <w:rsid w:val="00260D70"/>
    <w:rsid w:val="002620EE"/>
    <w:rsid w:val="00271747"/>
    <w:rsid w:val="00274688"/>
    <w:rsid w:val="0028087F"/>
    <w:rsid w:val="00283888"/>
    <w:rsid w:val="002A002C"/>
    <w:rsid w:val="002A5DE6"/>
    <w:rsid w:val="002B750C"/>
    <w:rsid w:val="002C5AF8"/>
    <w:rsid w:val="002D1C21"/>
    <w:rsid w:val="002D256C"/>
    <w:rsid w:val="002E29A4"/>
    <w:rsid w:val="002F3DED"/>
    <w:rsid w:val="002F7023"/>
    <w:rsid w:val="00306F5F"/>
    <w:rsid w:val="00320A7F"/>
    <w:rsid w:val="00327197"/>
    <w:rsid w:val="00352C54"/>
    <w:rsid w:val="003531AB"/>
    <w:rsid w:val="00363053"/>
    <w:rsid w:val="003640FC"/>
    <w:rsid w:val="00367ED8"/>
    <w:rsid w:val="00372693"/>
    <w:rsid w:val="00375A80"/>
    <w:rsid w:val="00377DEF"/>
    <w:rsid w:val="003919FA"/>
    <w:rsid w:val="00395796"/>
    <w:rsid w:val="00396E8D"/>
    <w:rsid w:val="00397978"/>
    <w:rsid w:val="003B1BA9"/>
    <w:rsid w:val="003B57E0"/>
    <w:rsid w:val="003D09A8"/>
    <w:rsid w:val="003D41CE"/>
    <w:rsid w:val="003E43C9"/>
    <w:rsid w:val="003E4FF7"/>
    <w:rsid w:val="003E764A"/>
    <w:rsid w:val="00401B81"/>
    <w:rsid w:val="0041322C"/>
    <w:rsid w:val="00425360"/>
    <w:rsid w:val="004337C6"/>
    <w:rsid w:val="004448EB"/>
    <w:rsid w:val="004629C2"/>
    <w:rsid w:val="00464FE0"/>
    <w:rsid w:val="00484203"/>
    <w:rsid w:val="004870E9"/>
    <w:rsid w:val="0049185E"/>
    <w:rsid w:val="00494772"/>
    <w:rsid w:val="004A2907"/>
    <w:rsid w:val="004A5332"/>
    <w:rsid w:val="004A61D4"/>
    <w:rsid w:val="004B409C"/>
    <w:rsid w:val="004B6F6C"/>
    <w:rsid w:val="004E67CE"/>
    <w:rsid w:val="00515588"/>
    <w:rsid w:val="0051643C"/>
    <w:rsid w:val="005214FC"/>
    <w:rsid w:val="00530FD7"/>
    <w:rsid w:val="0053342C"/>
    <w:rsid w:val="00536FDD"/>
    <w:rsid w:val="00560F15"/>
    <w:rsid w:val="005612CF"/>
    <w:rsid w:val="00565288"/>
    <w:rsid w:val="00575137"/>
    <w:rsid w:val="00593CFF"/>
    <w:rsid w:val="005A1ACE"/>
    <w:rsid w:val="005A2487"/>
    <w:rsid w:val="005A2E01"/>
    <w:rsid w:val="005A36D0"/>
    <w:rsid w:val="005A7795"/>
    <w:rsid w:val="005B0D77"/>
    <w:rsid w:val="005B3460"/>
    <w:rsid w:val="005B4B62"/>
    <w:rsid w:val="005E4447"/>
    <w:rsid w:val="005F16FA"/>
    <w:rsid w:val="005F1E16"/>
    <w:rsid w:val="0060153B"/>
    <w:rsid w:val="006276E7"/>
    <w:rsid w:val="00636A71"/>
    <w:rsid w:val="00637CCD"/>
    <w:rsid w:val="00650726"/>
    <w:rsid w:val="0066357E"/>
    <w:rsid w:val="006828BB"/>
    <w:rsid w:val="00684B80"/>
    <w:rsid w:val="006902EE"/>
    <w:rsid w:val="006971BA"/>
    <w:rsid w:val="006A2179"/>
    <w:rsid w:val="006A26C1"/>
    <w:rsid w:val="006A2B46"/>
    <w:rsid w:val="006B11AC"/>
    <w:rsid w:val="006B1947"/>
    <w:rsid w:val="006B235F"/>
    <w:rsid w:val="006C2EFB"/>
    <w:rsid w:val="006D122D"/>
    <w:rsid w:val="006D5931"/>
    <w:rsid w:val="006D61FD"/>
    <w:rsid w:val="006E117E"/>
    <w:rsid w:val="006E1A16"/>
    <w:rsid w:val="006E2B37"/>
    <w:rsid w:val="006E2E14"/>
    <w:rsid w:val="006E47AA"/>
    <w:rsid w:val="006E49E4"/>
    <w:rsid w:val="006E5444"/>
    <w:rsid w:val="006F1219"/>
    <w:rsid w:val="006F6E6E"/>
    <w:rsid w:val="00707328"/>
    <w:rsid w:val="00720845"/>
    <w:rsid w:val="007275BA"/>
    <w:rsid w:val="00732959"/>
    <w:rsid w:val="007405A6"/>
    <w:rsid w:val="00740AC9"/>
    <w:rsid w:val="007473BF"/>
    <w:rsid w:val="007523DF"/>
    <w:rsid w:val="00765D2B"/>
    <w:rsid w:val="007677A2"/>
    <w:rsid w:val="00773DF0"/>
    <w:rsid w:val="0077655C"/>
    <w:rsid w:val="00783F9E"/>
    <w:rsid w:val="007A5BA4"/>
    <w:rsid w:val="007A7F4B"/>
    <w:rsid w:val="007B6C9D"/>
    <w:rsid w:val="007D3B7B"/>
    <w:rsid w:val="007D7B12"/>
    <w:rsid w:val="007F6628"/>
    <w:rsid w:val="00800D27"/>
    <w:rsid w:val="00805FE1"/>
    <w:rsid w:val="00806905"/>
    <w:rsid w:val="00812E03"/>
    <w:rsid w:val="008353CF"/>
    <w:rsid w:val="008528EE"/>
    <w:rsid w:val="00852B22"/>
    <w:rsid w:val="00860383"/>
    <w:rsid w:val="0087101F"/>
    <w:rsid w:val="00881EF4"/>
    <w:rsid w:val="008876D2"/>
    <w:rsid w:val="00893B7E"/>
    <w:rsid w:val="00895392"/>
    <w:rsid w:val="008A0E0C"/>
    <w:rsid w:val="008B062A"/>
    <w:rsid w:val="008C0237"/>
    <w:rsid w:val="008C1B14"/>
    <w:rsid w:val="008C658A"/>
    <w:rsid w:val="008C7917"/>
    <w:rsid w:val="008E01CA"/>
    <w:rsid w:val="008E4F72"/>
    <w:rsid w:val="008E56FB"/>
    <w:rsid w:val="008E5787"/>
    <w:rsid w:val="008E7133"/>
    <w:rsid w:val="008F5B8F"/>
    <w:rsid w:val="00901DB5"/>
    <w:rsid w:val="00903AE7"/>
    <w:rsid w:val="00911CAA"/>
    <w:rsid w:val="00914538"/>
    <w:rsid w:val="00914695"/>
    <w:rsid w:val="00915594"/>
    <w:rsid w:val="00917189"/>
    <w:rsid w:val="009338E5"/>
    <w:rsid w:val="00936BC0"/>
    <w:rsid w:val="00943546"/>
    <w:rsid w:val="00950F44"/>
    <w:rsid w:val="009517CC"/>
    <w:rsid w:val="009673CE"/>
    <w:rsid w:val="00980D2C"/>
    <w:rsid w:val="009828CD"/>
    <w:rsid w:val="0098678F"/>
    <w:rsid w:val="009941B4"/>
    <w:rsid w:val="009A0119"/>
    <w:rsid w:val="009C5CB9"/>
    <w:rsid w:val="009D0A63"/>
    <w:rsid w:val="009E1041"/>
    <w:rsid w:val="009F2D28"/>
    <w:rsid w:val="009F4DB8"/>
    <w:rsid w:val="00A074EE"/>
    <w:rsid w:val="00A14B5C"/>
    <w:rsid w:val="00A15713"/>
    <w:rsid w:val="00A20BBB"/>
    <w:rsid w:val="00A31235"/>
    <w:rsid w:val="00A357F9"/>
    <w:rsid w:val="00A37D3A"/>
    <w:rsid w:val="00A5116F"/>
    <w:rsid w:val="00A7489F"/>
    <w:rsid w:val="00A7611B"/>
    <w:rsid w:val="00A94E5B"/>
    <w:rsid w:val="00AC6017"/>
    <w:rsid w:val="00AC6E1A"/>
    <w:rsid w:val="00AD1AD1"/>
    <w:rsid w:val="00AE0048"/>
    <w:rsid w:val="00AE73CF"/>
    <w:rsid w:val="00AF46A6"/>
    <w:rsid w:val="00AF4E6F"/>
    <w:rsid w:val="00AF6B51"/>
    <w:rsid w:val="00B1083B"/>
    <w:rsid w:val="00B124DF"/>
    <w:rsid w:val="00B30357"/>
    <w:rsid w:val="00B32933"/>
    <w:rsid w:val="00B333D6"/>
    <w:rsid w:val="00B57DB6"/>
    <w:rsid w:val="00B70C67"/>
    <w:rsid w:val="00B737BA"/>
    <w:rsid w:val="00B75A91"/>
    <w:rsid w:val="00B76F4D"/>
    <w:rsid w:val="00B9155E"/>
    <w:rsid w:val="00BA553A"/>
    <w:rsid w:val="00BA6C9D"/>
    <w:rsid w:val="00BA6EFF"/>
    <w:rsid w:val="00BA73A9"/>
    <w:rsid w:val="00BB08FC"/>
    <w:rsid w:val="00BC26CB"/>
    <w:rsid w:val="00BC3020"/>
    <w:rsid w:val="00BC7F5A"/>
    <w:rsid w:val="00BD0C4A"/>
    <w:rsid w:val="00BD3A24"/>
    <w:rsid w:val="00BE2BEF"/>
    <w:rsid w:val="00BE36E7"/>
    <w:rsid w:val="00BE61B5"/>
    <w:rsid w:val="00C008A8"/>
    <w:rsid w:val="00C01223"/>
    <w:rsid w:val="00C01792"/>
    <w:rsid w:val="00C046A6"/>
    <w:rsid w:val="00C10428"/>
    <w:rsid w:val="00C10516"/>
    <w:rsid w:val="00C15862"/>
    <w:rsid w:val="00C23FF7"/>
    <w:rsid w:val="00C30576"/>
    <w:rsid w:val="00C54622"/>
    <w:rsid w:val="00C56894"/>
    <w:rsid w:val="00C56FAB"/>
    <w:rsid w:val="00C63F43"/>
    <w:rsid w:val="00C647FF"/>
    <w:rsid w:val="00C6770C"/>
    <w:rsid w:val="00C91418"/>
    <w:rsid w:val="00C94643"/>
    <w:rsid w:val="00CA1A53"/>
    <w:rsid w:val="00CA215D"/>
    <w:rsid w:val="00CB336B"/>
    <w:rsid w:val="00CC3331"/>
    <w:rsid w:val="00CD0772"/>
    <w:rsid w:val="00CD7F19"/>
    <w:rsid w:val="00CF1726"/>
    <w:rsid w:val="00CF768F"/>
    <w:rsid w:val="00D0123F"/>
    <w:rsid w:val="00D037F6"/>
    <w:rsid w:val="00D0400A"/>
    <w:rsid w:val="00D127C7"/>
    <w:rsid w:val="00D2020D"/>
    <w:rsid w:val="00D27A83"/>
    <w:rsid w:val="00D32BEA"/>
    <w:rsid w:val="00D40E28"/>
    <w:rsid w:val="00D46D81"/>
    <w:rsid w:val="00D60B81"/>
    <w:rsid w:val="00D64010"/>
    <w:rsid w:val="00D757A8"/>
    <w:rsid w:val="00D77D61"/>
    <w:rsid w:val="00D838BA"/>
    <w:rsid w:val="00D859C3"/>
    <w:rsid w:val="00D86E38"/>
    <w:rsid w:val="00DC2466"/>
    <w:rsid w:val="00DD5A0D"/>
    <w:rsid w:val="00DD5F5F"/>
    <w:rsid w:val="00DD6735"/>
    <w:rsid w:val="00DE0F1B"/>
    <w:rsid w:val="00DE59D6"/>
    <w:rsid w:val="00DF3995"/>
    <w:rsid w:val="00E03E8E"/>
    <w:rsid w:val="00E05149"/>
    <w:rsid w:val="00E223DD"/>
    <w:rsid w:val="00E229A1"/>
    <w:rsid w:val="00E37EC3"/>
    <w:rsid w:val="00E41E5B"/>
    <w:rsid w:val="00E45C03"/>
    <w:rsid w:val="00E53DD6"/>
    <w:rsid w:val="00E61735"/>
    <w:rsid w:val="00E627D4"/>
    <w:rsid w:val="00E6451C"/>
    <w:rsid w:val="00E8486A"/>
    <w:rsid w:val="00E8724A"/>
    <w:rsid w:val="00E87678"/>
    <w:rsid w:val="00E9355A"/>
    <w:rsid w:val="00E947A8"/>
    <w:rsid w:val="00EA5F2E"/>
    <w:rsid w:val="00EA666E"/>
    <w:rsid w:val="00EB4A93"/>
    <w:rsid w:val="00EC64C8"/>
    <w:rsid w:val="00ED3093"/>
    <w:rsid w:val="00F0287F"/>
    <w:rsid w:val="00F17C63"/>
    <w:rsid w:val="00F20DCA"/>
    <w:rsid w:val="00F32338"/>
    <w:rsid w:val="00F378D9"/>
    <w:rsid w:val="00F37FC2"/>
    <w:rsid w:val="00F520D7"/>
    <w:rsid w:val="00F566C6"/>
    <w:rsid w:val="00F57F3E"/>
    <w:rsid w:val="00F656C4"/>
    <w:rsid w:val="00FA20CF"/>
    <w:rsid w:val="00FA3999"/>
    <w:rsid w:val="00FA47BC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9651"/>
  <w15:chartTrackingRefBased/>
  <w15:docId w15:val="{CB7A2545-5876-4A99-95CD-EA6F4E87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B7E"/>
    <w:pPr>
      <w:spacing w:before="100" w:beforeAutospacing="1" w:after="100" w:afterAutospacing="1"/>
      <w:outlineLvl w:val="2"/>
    </w:pPr>
    <w:rPr>
      <w:rFonts w:eastAsia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B7E"/>
    <w:rPr>
      <w:rFonts w:eastAsia="Times New Roman"/>
      <w:sz w:val="27"/>
      <w:szCs w:val="27"/>
    </w:rPr>
  </w:style>
  <w:style w:type="character" w:customStyle="1" w:styleId="mw-headline">
    <w:name w:val="mw-headline"/>
    <w:basedOn w:val="DefaultParagraphFont"/>
    <w:rsid w:val="00893B7E"/>
  </w:style>
  <w:style w:type="paragraph" w:styleId="NormalWeb">
    <w:name w:val="Normal (Web)"/>
    <w:basedOn w:val="Normal"/>
    <w:uiPriority w:val="99"/>
    <w:semiHidden/>
    <w:unhideWhenUsed/>
    <w:rsid w:val="00893B7E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lasmacytoid_dendritic_cell" TargetMode="External"/><Relationship Id="rId13" Type="http://schemas.openxmlformats.org/officeDocument/2006/relationships/hyperlink" Target="https://en.wikipedia.org/wiki/Antigen" TargetMode="External"/><Relationship Id="rId18" Type="http://schemas.openxmlformats.org/officeDocument/2006/relationships/hyperlink" Target="https://en.wikipedia.org/wiki/Hydroxychloroquine" TargetMode="External"/><Relationship Id="rId26" Type="http://schemas.openxmlformats.org/officeDocument/2006/relationships/hyperlink" Target="https://en.wikipedia.org/wiki/Insulin_sensitivi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Hemozo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Toll-like_receptor" TargetMode="External"/><Relationship Id="rId12" Type="http://schemas.openxmlformats.org/officeDocument/2006/relationships/hyperlink" Target="https://en.wikipedia.org/wiki/Dendritic_cell" TargetMode="External"/><Relationship Id="rId17" Type="http://schemas.openxmlformats.org/officeDocument/2006/relationships/hyperlink" Target="https://en.wikipedia.org/wiki/Innate_immune_system" TargetMode="External"/><Relationship Id="rId25" Type="http://schemas.openxmlformats.org/officeDocument/2006/relationships/hyperlink" Target="https://en.wikipedia.org/wiki/Insuli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Toll-like_receptor" TargetMode="External"/><Relationship Id="rId20" Type="http://schemas.openxmlformats.org/officeDocument/2006/relationships/hyperlink" Target="https://en.wikipedia.org/wiki/Quinine" TargetMode="External"/><Relationship Id="rId29" Type="http://schemas.openxmlformats.org/officeDocument/2006/relationships/hyperlink" Target="https://en.wikipedia.org/wiki/Zinc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Hydroxychloroquine" TargetMode="External"/><Relationship Id="rId11" Type="http://schemas.openxmlformats.org/officeDocument/2006/relationships/hyperlink" Target="https://en.wikipedia.org/wiki/Interferon" TargetMode="External"/><Relationship Id="rId24" Type="http://schemas.openxmlformats.org/officeDocument/2006/relationships/hyperlink" Target="https://en.wikipedia.org/wiki/Hydroxychloroquine" TargetMode="External"/><Relationship Id="rId32" Type="http://schemas.openxmlformats.org/officeDocument/2006/relationships/hyperlink" Target="https://en.wikipedia.org/wiki/Hydroxychloroquine" TargetMode="External"/><Relationship Id="rId5" Type="http://schemas.openxmlformats.org/officeDocument/2006/relationships/hyperlink" Target="https://en.wikipedia.org/wiki/Antigen-presenting_cell" TargetMode="External"/><Relationship Id="rId15" Type="http://schemas.openxmlformats.org/officeDocument/2006/relationships/hyperlink" Target="https://en.wikipedia.org/wiki/Wikipedia:Identifying_reliable_sources_(medicine)" TargetMode="External"/><Relationship Id="rId23" Type="http://schemas.openxmlformats.org/officeDocument/2006/relationships/hyperlink" Target="https://en.wikipedia.org/wiki/Heme" TargetMode="External"/><Relationship Id="rId28" Type="http://schemas.openxmlformats.org/officeDocument/2006/relationships/hyperlink" Target="https://en.wikipedia.org/wiki/Hydroxychloroquine" TargetMode="External"/><Relationship Id="rId10" Type="http://schemas.openxmlformats.org/officeDocument/2006/relationships/hyperlink" Target="https://en.wikipedia.org/wiki/TLR9" TargetMode="External"/><Relationship Id="rId19" Type="http://schemas.openxmlformats.org/officeDocument/2006/relationships/hyperlink" Target="https://en.wikipedia.org/wiki/Quinoline" TargetMode="External"/><Relationship Id="rId31" Type="http://schemas.openxmlformats.org/officeDocument/2006/relationships/hyperlink" Target="https://en.wikipedia.org/wiki/Intracellular" TargetMode="External"/><Relationship Id="rId4" Type="http://schemas.openxmlformats.org/officeDocument/2006/relationships/hyperlink" Target="https://en.wikipedia.org/wiki/Hydroxychloroquine" TargetMode="External"/><Relationship Id="rId9" Type="http://schemas.openxmlformats.org/officeDocument/2006/relationships/hyperlink" Target="https://en.wikipedia.org/wiki/Hydroxychloroquine" TargetMode="External"/><Relationship Id="rId14" Type="http://schemas.openxmlformats.org/officeDocument/2006/relationships/hyperlink" Target="https://en.wikipedia.org/wiki/T_cell" TargetMode="External"/><Relationship Id="rId22" Type="http://schemas.openxmlformats.org/officeDocument/2006/relationships/hyperlink" Target="https://en.wikipedia.org/wiki/Biocrystallization" TargetMode="External"/><Relationship Id="rId27" Type="http://schemas.openxmlformats.org/officeDocument/2006/relationships/hyperlink" Target="https://en.wikipedia.org/wiki/Pancreas" TargetMode="External"/><Relationship Id="rId30" Type="http://schemas.openxmlformats.org/officeDocument/2006/relationships/hyperlink" Target="https://en.wikipedia.org/wiki/Ionoph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Medici</dc:creator>
  <cp:keywords/>
  <dc:description/>
  <cp:lastModifiedBy>Vincent Medici</cp:lastModifiedBy>
  <cp:revision>2</cp:revision>
  <dcterms:created xsi:type="dcterms:W3CDTF">2020-08-01T16:09:00Z</dcterms:created>
  <dcterms:modified xsi:type="dcterms:W3CDTF">2020-08-01T16:09:00Z</dcterms:modified>
</cp:coreProperties>
</file>